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53"/>
      </w:tblGrid>
      <w:tr w:rsidR="005E0503" w:rsidTr="00133958">
        <w:tc>
          <w:tcPr>
            <w:tcW w:w="9967" w:type="dxa"/>
          </w:tcPr>
          <w:p w:rsidR="005E0503" w:rsidRPr="00024D0E" w:rsidRDefault="00024D0E" w:rsidP="00133958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024D0E">
              <w:rPr>
                <w:b/>
                <w:noProof/>
                <w:sz w:val="28"/>
                <w:szCs w:val="28"/>
              </w:rPr>
              <w:t>ПРОЕКТ</w:t>
            </w:r>
          </w:p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E0503" w:rsidRDefault="005E0503" w:rsidP="00133958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5E0503" w:rsidTr="00133958">
        <w:tc>
          <w:tcPr>
            <w:tcW w:w="9967" w:type="dxa"/>
          </w:tcPr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</w:p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5E0503" w:rsidRDefault="005E0503" w:rsidP="0013395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КИРОВСКОГО МУНИЦИПАЛЬНОГО РАЙОНА</w:t>
            </w:r>
          </w:p>
          <w:p w:rsidR="005E0503" w:rsidRDefault="005E0503" w:rsidP="00133958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5E0503" w:rsidRDefault="005E0503" w:rsidP="001339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5E0503" w:rsidRDefault="005E0503" w:rsidP="00133958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ПОСТАНОВЛЕНИЕ</w:t>
            </w:r>
          </w:p>
          <w:p w:rsidR="005E0503" w:rsidRDefault="005E0503" w:rsidP="00133958">
            <w:pPr>
              <w:tabs>
                <w:tab w:val="left" w:pos="55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  <w:p w:rsidR="005E0503" w:rsidRDefault="005E0503" w:rsidP="00024D0E">
            <w:pPr>
              <w:spacing w:line="36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>от ____________  №  ______</w:t>
            </w:r>
          </w:p>
        </w:tc>
      </w:tr>
    </w:tbl>
    <w:p w:rsidR="005E0503" w:rsidRDefault="005E0503" w:rsidP="005E0503">
      <w:pPr>
        <w:rPr>
          <w:b/>
          <w:sz w:val="24"/>
          <w:szCs w:val="24"/>
        </w:rPr>
      </w:pPr>
      <w:r w:rsidRPr="004A7914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подготовке к пожароопасному периоду </w:t>
      </w:r>
    </w:p>
    <w:p w:rsidR="005E0503" w:rsidRDefault="005E0503" w:rsidP="005E05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обеспечению мер пожарной безопасности </w:t>
      </w:r>
    </w:p>
    <w:p w:rsidR="005E0503" w:rsidRDefault="005E0503" w:rsidP="005E05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городе Шлиссельбурге и примыкающем к нему </w:t>
      </w:r>
    </w:p>
    <w:p w:rsidR="005E0503" w:rsidRDefault="005E0503" w:rsidP="005E050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лесном фонде на территории Шлиссельбургского </w:t>
      </w:r>
    </w:p>
    <w:p w:rsidR="005E0503" w:rsidRPr="00AB1FD2" w:rsidRDefault="005E0503" w:rsidP="005E0503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городского поселения в 2026 году</w:t>
      </w:r>
    </w:p>
    <w:p w:rsidR="005E0503" w:rsidRDefault="005E0503" w:rsidP="005E0503">
      <w:pPr>
        <w:rPr>
          <w:sz w:val="24"/>
          <w:szCs w:val="24"/>
        </w:rPr>
      </w:pPr>
    </w:p>
    <w:p w:rsidR="005E0503" w:rsidRDefault="005E0503" w:rsidP="005E0503">
      <w:pPr>
        <w:rPr>
          <w:sz w:val="24"/>
          <w:szCs w:val="24"/>
        </w:rPr>
      </w:pP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 w:rsidRPr="006E43CD">
        <w:rPr>
          <w:sz w:val="24"/>
          <w:szCs w:val="24"/>
        </w:rPr>
        <w:t>В</w:t>
      </w:r>
      <w:r>
        <w:rPr>
          <w:sz w:val="24"/>
          <w:szCs w:val="24"/>
        </w:rPr>
        <w:t xml:space="preserve"> соответствии с Лесным кодексом РФ от 04.12.2006 № 200-ФЗ,</w:t>
      </w:r>
      <w:r w:rsidRPr="007D55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 ст. 30 Федерального закона от 21.12.1994 № 69-ФЗ «О пожарной безопасности» и Правилами пожарной безопасности  в  лесах, утвержденными  Постановлением  Правительства  РФ  от 07.10.2020 № 1614, Правилами противопожарного режима в Российской Федерации, утвержденными постановлением Правительства РФ от 16.09.2020 № 1479 (с изменениями внесенными Постановлением Правительства РФ от </w:t>
      </w:r>
      <w:r w:rsidR="006716B4">
        <w:rPr>
          <w:sz w:val="24"/>
          <w:szCs w:val="24"/>
        </w:rPr>
        <w:t>03.02</w:t>
      </w:r>
      <w:r>
        <w:rPr>
          <w:sz w:val="24"/>
          <w:szCs w:val="24"/>
        </w:rPr>
        <w:t>.202</w:t>
      </w:r>
      <w:r w:rsidR="006716B4">
        <w:rPr>
          <w:sz w:val="24"/>
          <w:szCs w:val="24"/>
        </w:rPr>
        <w:t>5 № 90</w:t>
      </w:r>
      <w:r>
        <w:rPr>
          <w:sz w:val="24"/>
          <w:szCs w:val="24"/>
        </w:rPr>
        <w:t>),  областным законом от 25.12.2006 № 169-оз «О пожарной безопасности Ленинградской области» и п. 12</w:t>
      </w:r>
      <w:r w:rsidRPr="00342970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6</w:t>
      </w:r>
      <w:r w:rsidRPr="00342970">
        <w:rPr>
          <w:sz w:val="24"/>
          <w:szCs w:val="24"/>
        </w:rPr>
        <w:t xml:space="preserve"> Устава </w:t>
      </w:r>
      <w:r>
        <w:rPr>
          <w:sz w:val="24"/>
          <w:szCs w:val="24"/>
        </w:rPr>
        <w:t>Шлиссельбургского городского поселения</w:t>
      </w:r>
      <w:r w:rsidRPr="00342970">
        <w:rPr>
          <w:sz w:val="24"/>
          <w:szCs w:val="24"/>
        </w:rPr>
        <w:t xml:space="preserve"> Кировск</w:t>
      </w:r>
      <w:r>
        <w:rPr>
          <w:sz w:val="24"/>
          <w:szCs w:val="24"/>
        </w:rPr>
        <w:t>ого</w:t>
      </w:r>
      <w:r w:rsidRPr="00342970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ого</w:t>
      </w:r>
      <w:r w:rsidRPr="00342970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Pr="00342970">
        <w:rPr>
          <w:sz w:val="24"/>
          <w:szCs w:val="24"/>
        </w:rPr>
        <w:t xml:space="preserve"> Ленинградской области</w:t>
      </w:r>
      <w:r>
        <w:rPr>
          <w:sz w:val="24"/>
          <w:szCs w:val="24"/>
        </w:rPr>
        <w:t xml:space="preserve">, в </w:t>
      </w:r>
      <w:r w:rsidRPr="006E43CD">
        <w:rPr>
          <w:sz w:val="24"/>
          <w:szCs w:val="24"/>
        </w:rPr>
        <w:t xml:space="preserve">целях </w:t>
      </w:r>
      <w:r>
        <w:rPr>
          <w:sz w:val="24"/>
          <w:szCs w:val="24"/>
        </w:rPr>
        <w:t xml:space="preserve">подготовки к пожароопасному периоду 2026 года и </w:t>
      </w:r>
      <w:r w:rsidRPr="006E43CD">
        <w:rPr>
          <w:sz w:val="24"/>
          <w:szCs w:val="24"/>
        </w:rPr>
        <w:t>обеспечения пожарной безопасности на объектах социально-бытового, жилого и иного назначения</w:t>
      </w:r>
      <w:r>
        <w:rPr>
          <w:sz w:val="24"/>
          <w:szCs w:val="24"/>
        </w:rPr>
        <w:t xml:space="preserve"> </w:t>
      </w:r>
      <w:r w:rsidRPr="006E43CD">
        <w:rPr>
          <w:sz w:val="24"/>
          <w:szCs w:val="24"/>
        </w:rPr>
        <w:t xml:space="preserve"> на территории </w:t>
      </w:r>
      <w:r>
        <w:rPr>
          <w:sz w:val="24"/>
          <w:szCs w:val="24"/>
        </w:rPr>
        <w:t>Шлиссельбургского городского поселения, а также в примыкающем к городу Шлиссельбургу лесном фонде: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На землях общего пользования Шлиссельбургского городского поселения, а также на территориях частных домовладений запрещается использовать открытый огонь для приготовления пищи вне специально отведенных и оборудованных для этого мест, а также сжигать мусор, сухую траву, листву и иные отходы, материалы или изделия в неприспособленных для этого местах.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руководителям предприятий, организаций, учреждений всех форм собственности, осуществляющим свою деятельность на территории Шлиссельбургского городского поселения, организовать своевременную очистку подведомственной им территории от горючего мусора и сухой травянистой и кустарниковой растительности и вывоз мусора при проведении мероприятий по уборке.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Рекомендовать председателям гаражных товариществ, расположенных на территории Шлиссельбургского городского поселения, организовать очистку территории гаражных товариществ от горючего мусора и легковоспламеняющейся ветоши.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Рекомендовать председателям товариществ собственников жилья, собственникам домовладений частного жилого сектора, расположенных на территории Шлиссельбургского городского поселения,</w:t>
      </w:r>
      <w:r w:rsidRPr="00962F90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провести мероприятия по уборке придомовой территории от горючего мусора. На участках собственников домовладений частного жилого сектора необходимо установить емкости (бочки) с водой или приобрести огнетушители.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Рекомендовать председателям правлений некоммерческих садоводческих товариществ (СНТ), расположенных на территории Шлиссельбургского городского поселения, проверить и при необходимости привести в рабочее состояние дороги к СНТ, уточнить размеры дорожного полотна улиц на территориях СНТ на соответствие со схемой территориального планирования,</w:t>
      </w:r>
      <w:r w:rsidRPr="006E384B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проверить подъезды к естественным и искусственным источникам наружного противопожарного водоснабжения на территориях СНТ, проверить состояние указателей о месте расположения пожарных водоемов, проверить техническое состояние площадок (пирсов) пожарных водоемов для подъезда к ним пожарных автомобилей для забора воды в целях пожаротушения. Собственникам садовых участков необходимо установить возле дачных построек емкости (бочки) с водой или приобрести огнетушители.</w:t>
      </w:r>
    </w:p>
    <w:p w:rsidR="005E0503" w:rsidRPr="006E384B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Рекомендовать собственникам земельных участков, граничащих с лесным фондом, провести очистку территории от сухой травянистой и кустарниковой растительности, пожнивных остатков, валежника, порубочных остатков, сгораемого мусора и других горючих материалов на полосе шириной не менее 10 метров от леса либо отделения леса противопожарной минерализованной полосой не менее 1 метра или иным противопожарным барьером. 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Рекомендовать руководителям детских дошкольных учреждений, МБОУ «Шлиссельбургская средняя общеобразовательная школа № 1», учреждений дополнительного образования и ГБПОУ ЛО «Техникум водного транспорта» организовать регулярное проведение разъяснительной работы с воспитанниками и учащимися о недопустимости поджога сухой травянистой растительности, разведения открытого огня и необходимости соблюдения правил нахождения в лесу.</w:t>
      </w:r>
    </w:p>
    <w:p w:rsidR="005E0503" w:rsidRPr="005372DF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Рекомендовать руководителям предприятий проверить работоспособность и техническую оснащенность объектовых нештатных пожарных формирований и привести их в состояние готовности.</w:t>
      </w:r>
    </w:p>
    <w:p w:rsidR="006716B4" w:rsidRPr="006716B4" w:rsidRDefault="005E0503" w:rsidP="006716B4">
      <w:pPr>
        <w:ind w:firstLine="709"/>
        <w:jc w:val="both"/>
        <w:rPr>
          <w:sz w:val="24"/>
          <w:szCs w:val="24"/>
        </w:rPr>
      </w:pPr>
      <w:r w:rsidRPr="006716B4">
        <w:rPr>
          <w:sz w:val="24"/>
          <w:szCs w:val="24"/>
        </w:rPr>
        <w:t xml:space="preserve">9. </w:t>
      </w:r>
      <w:r w:rsidR="006716B4" w:rsidRPr="006716B4">
        <w:rPr>
          <w:sz w:val="24"/>
          <w:szCs w:val="24"/>
        </w:rPr>
        <w:t xml:space="preserve">Настоящее постановление </w:t>
      </w:r>
      <w:r w:rsidR="006716B4" w:rsidRPr="006716B4">
        <w:rPr>
          <w:bCs/>
          <w:sz w:val="24"/>
          <w:szCs w:val="24"/>
        </w:rPr>
        <w:t xml:space="preserve">подлежит официальному опубликованию </w:t>
      </w:r>
      <w:r w:rsidR="006716B4" w:rsidRPr="006716B4">
        <w:rPr>
          <w:sz w:val="24"/>
          <w:szCs w:val="24"/>
        </w:rPr>
        <w:t>в газете «Невский исток» и размещению на официальном сайте администрации Шлиссельбургского городского поселения https://admshlisselburg.ru/.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информирование населения об обязательном соблюдении требований пожарной безопасности в пожароопасный период.</w:t>
      </w:r>
    </w:p>
    <w:p w:rsidR="005E0503" w:rsidRDefault="005E0503" w:rsidP="005E05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Контроль за исполнением настоящего постановления оставляю за собой.</w:t>
      </w: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                                                                                                 А.В. Маслаков                                                 </w:t>
      </w: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spacing w:line="320" w:lineRule="exact"/>
        <w:jc w:val="both"/>
        <w:rPr>
          <w:sz w:val="24"/>
          <w:szCs w:val="24"/>
        </w:rPr>
      </w:pPr>
    </w:p>
    <w:p w:rsidR="005E0503" w:rsidRDefault="005E0503" w:rsidP="005E0503">
      <w:pPr>
        <w:jc w:val="both"/>
      </w:pPr>
      <w:r w:rsidRPr="00764A27">
        <w:t xml:space="preserve">Разослано: в дело, </w:t>
      </w:r>
      <w:r>
        <w:t>заместителю главы администрации по ЖКХ, МКУ «</w:t>
      </w:r>
      <w:proofErr w:type="spellStart"/>
      <w:r>
        <w:t>УГХиО</w:t>
      </w:r>
      <w:proofErr w:type="spellEnd"/>
      <w:r>
        <w:t>», ООО «Жилищно-Управляющая Компания», ТСЖ, ЖСК,</w:t>
      </w:r>
      <w:r w:rsidRPr="00764A27">
        <w:t xml:space="preserve"> </w:t>
      </w:r>
      <w:proofErr w:type="spellStart"/>
      <w:r w:rsidRPr="00764A27">
        <w:t>НЛРВПиС</w:t>
      </w:r>
      <w:proofErr w:type="spellEnd"/>
      <w:r w:rsidRPr="00764A27">
        <w:t>, ООО «НССЗ», М</w:t>
      </w:r>
      <w:r>
        <w:t>Б</w:t>
      </w:r>
      <w:r w:rsidRPr="00764A27">
        <w:t>ОУ «ШСОШ № 1», М</w:t>
      </w:r>
      <w:r>
        <w:t>БУДО</w:t>
      </w:r>
      <w:r w:rsidRPr="00764A27">
        <w:t xml:space="preserve"> «ШДМШ», М</w:t>
      </w:r>
      <w:r>
        <w:t>БУДО «Ш</w:t>
      </w:r>
      <w:r w:rsidRPr="00764A27">
        <w:t>Д</w:t>
      </w:r>
      <w:r>
        <w:t>Х</w:t>
      </w:r>
      <w:r w:rsidRPr="00764A27">
        <w:t>Ш», М</w:t>
      </w:r>
      <w:r>
        <w:t>Б</w:t>
      </w:r>
      <w:r w:rsidRPr="00764A27">
        <w:t>ДОУ «Детский сад</w:t>
      </w:r>
      <w:r>
        <w:t xml:space="preserve"> комбинированного вида </w:t>
      </w:r>
      <w:r w:rsidRPr="00764A27">
        <w:t>«Теремок», М</w:t>
      </w:r>
      <w:r>
        <w:t>БДОУ «Д</w:t>
      </w:r>
      <w:r w:rsidRPr="00764A27">
        <w:t>етский сад</w:t>
      </w:r>
      <w:r>
        <w:t xml:space="preserve"> комбинированного вида</w:t>
      </w:r>
      <w:r w:rsidRPr="00764A27">
        <w:t xml:space="preserve"> «Орешек»,</w:t>
      </w:r>
      <w:r w:rsidRPr="006E7EFE">
        <w:t xml:space="preserve"> </w:t>
      </w:r>
      <w:r w:rsidRPr="00764A27">
        <w:t>М</w:t>
      </w:r>
      <w:r>
        <w:t>БДОУ «Д</w:t>
      </w:r>
      <w:r w:rsidRPr="00764A27">
        <w:t>етский сад</w:t>
      </w:r>
      <w:r>
        <w:t xml:space="preserve"> комбинированного вида «Золотой ключик»,</w:t>
      </w:r>
      <w:r w:rsidRPr="00764A27">
        <w:t xml:space="preserve"> М</w:t>
      </w:r>
      <w:r>
        <w:t>БУ</w:t>
      </w:r>
      <w:r w:rsidRPr="00764A27">
        <w:t xml:space="preserve"> «КСК </w:t>
      </w:r>
      <w:r>
        <w:t>«</w:t>
      </w:r>
      <w:r w:rsidRPr="00764A27">
        <w:t>Невский», Г</w:t>
      </w:r>
      <w:r>
        <w:t>БПОУ ЛО</w:t>
      </w:r>
      <w:r w:rsidRPr="00764A27">
        <w:t xml:space="preserve"> «</w:t>
      </w:r>
      <w:r>
        <w:t>Техникум</w:t>
      </w:r>
      <w:r w:rsidRPr="00764A27">
        <w:t xml:space="preserve"> водного транспорта», </w:t>
      </w:r>
      <w:r>
        <w:t xml:space="preserve">гаражное товарищество «Водник», гаражное товарищество «Металлист», </w:t>
      </w:r>
      <w:r w:rsidRPr="00764A27">
        <w:t xml:space="preserve">СНТ «Волна», </w:t>
      </w:r>
      <w:r>
        <w:t>СНТ «Орешек», СНТ «Шлиссельбуржец», МБУ «ИД «Крепкий орешек», ВУС.</w:t>
      </w:r>
      <w:bookmarkStart w:id="0" w:name="_GoBack"/>
      <w:bookmarkEnd w:id="0"/>
    </w:p>
    <w:sectPr w:rsidR="005E0503" w:rsidSect="00A4588F">
      <w:pgSz w:w="11906" w:h="16838" w:code="9"/>
      <w:pgMar w:top="1134" w:right="851" w:bottom="1134" w:left="1418" w:header="510" w:footer="51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03"/>
    <w:rsid w:val="00024D0E"/>
    <w:rsid w:val="00264E30"/>
    <w:rsid w:val="005E0503"/>
    <w:rsid w:val="006716B4"/>
    <w:rsid w:val="00A2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50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503"/>
    <w:rPr>
      <w:rFonts w:ascii="Tahoma" w:eastAsia="Times New Roman" w:hAnsi="Tahoma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050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ahoma" w:hAnsi="Tahom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0503"/>
    <w:rPr>
      <w:rFonts w:ascii="Tahoma" w:eastAsia="Times New Roman" w:hAnsi="Tahoma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dcterms:created xsi:type="dcterms:W3CDTF">2026-03-19T11:37:00Z</dcterms:created>
  <dcterms:modified xsi:type="dcterms:W3CDTF">2026-03-30T08:39:00Z</dcterms:modified>
</cp:coreProperties>
</file>